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7E" w:rsidRDefault="00FD327E">
      <w:pPr>
        <w:pStyle w:val="1"/>
        <w:jc w:val="center"/>
        <w:rPr>
          <w:rFonts w:ascii="方正小标宋简体" w:eastAsia="方正小标宋简体" w:hAnsi="Times New Roman" w:cs="Times New Roman"/>
          <w:sz w:val="40"/>
          <w:szCs w:val="44"/>
          <w:lang w:val="en-US"/>
        </w:rPr>
      </w:pPr>
      <w:r w:rsidRPr="00FD327E">
        <w:rPr>
          <w:rFonts w:ascii="方正小标宋简体" w:eastAsia="方正小标宋简体" w:hAnsi="Times New Roman" w:cs="Times New Roman" w:hint="eastAsia"/>
          <w:sz w:val="40"/>
          <w:szCs w:val="44"/>
          <w:lang w:val="en-US"/>
        </w:rPr>
        <w:t>河南省智慧教育与智能技术应用工程技术研究中心</w:t>
      </w:r>
    </w:p>
    <w:p w:rsidR="00251BC0" w:rsidRPr="00FD327E" w:rsidRDefault="00516F85">
      <w:pPr>
        <w:pStyle w:val="1"/>
        <w:jc w:val="center"/>
        <w:rPr>
          <w:rFonts w:ascii="仿宋_GB2312" w:eastAsia="仿宋_GB2312" w:hAnsi="仿宋_GB2312" w:cs="仿宋_GB2312"/>
          <w:sz w:val="28"/>
          <w:szCs w:val="30"/>
        </w:rPr>
      </w:pPr>
      <w:r w:rsidRPr="00FD327E">
        <w:rPr>
          <w:rFonts w:ascii="方正小标宋简体" w:eastAsia="方正小标宋简体" w:hAnsi="Times New Roman" w:cs="Times New Roman" w:hint="eastAsia"/>
          <w:sz w:val="40"/>
          <w:szCs w:val="44"/>
        </w:rPr>
        <w:t>档案管理办法</w:t>
      </w:r>
    </w:p>
    <w:p w:rsidR="00251BC0" w:rsidRDefault="00251BC0">
      <w:pPr>
        <w:pStyle w:val="1"/>
        <w:rPr>
          <w:rFonts w:ascii="仿宋_GB2312" w:eastAsia="仿宋_GB2312" w:hAnsi="仿宋_GB2312" w:cs="仿宋_GB2312"/>
          <w:sz w:val="30"/>
          <w:szCs w:val="30"/>
        </w:rPr>
      </w:pPr>
    </w:p>
    <w:p w:rsidR="00251BC0" w:rsidRDefault="00516F85" w:rsidP="00FD327E">
      <w:pPr>
        <w:pStyle w:val="1"/>
        <w:spacing w:beforeLines="50" w:before="156" w:afterLines="50" w:after="1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</w:t>
      </w: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则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本制度规定了</w:t>
      </w:r>
      <w:r w:rsidR="00FD327E" w:rsidRPr="00FD327E">
        <w:rPr>
          <w:rFonts w:ascii="仿宋_GB2312" w:eastAsia="仿宋_GB2312" w:hAnsi="仿宋_GB2312" w:cs="仿宋_GB2312" w:hint="eastAsia"/>
          <w:sz w:val="32"/>
          <w:szCs w:val="32"/>
          <w:lang w:val="en-US"/>
        </w:rPr>
        <w:t>河南省智慧教育与智能技术应用工程技术研究中心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中心”）档案管理人员的职责，以及档案的建立、维护要求，规定了</w:t>
      </w:r>
      <w:r w:rsidR="00134A1F">
        <w:rPr>
          <w:rFonts w:ascii="仿宋_GB2312" w:eastAsia="仿宋_GB2312" w:hAnsi="仿宋_GB2312" w:cs="仿宋_GB2312" w:hint="eastAsia"/>
          <w:sz w:val="32"/>
          <w:szCs w:val="32"/>
        </w:rPr>
        <w:t>档</w:t>
      </w:r>
      <w:r>
        <w:rPr>
          <w:rFonts w:ascii="仿宋_GB2312" w:eastAsia="仿宋_GB2312" w:hAnsi="仿宋_GB2312" w:cs="仿宋_GB2312" w:hint="eastAsia"/>
          <w:sz w:val="32"/>
          <w:szCs w:val="32"/>
        </w:rPr>
        <w:t>案的审查、批准、复审、借阅及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销</w:t>
      </w:r>
      <w:r>
        <w:rPr>
          <w:rFonts w:ascii="仿宋_GB2312" w:eastAsia="仿宋_GB2312" w:hAnsi="仿宋_GB2312" w:cs="仿宋_GB2312" w:hint="eastAsia"/>
          <w:sz w:val="32"/>
          <w:szCs w:val="32"/>
        </w:rPr>
        <w:t>毁的程序与规则。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本制度适用于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134A1F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档案管理工作。</w:t>
      </w:r>
    </w:p>
    <w:p w:rsidR="00251BC0" w:rsidRDefault="00251BC0">
      <w:pPr>
        <w:pStyle w:val="1"/>
        <w:spacing w:before="4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51BC0" w:rsidRDefault="00516F85" w:rsidP="00FD327E">
      <w:pPr>
        <w:pStyle w:val="1"/>
        <w:spacing w:beforeLines="50" w:before="156" w:afterLines="50" w:after="1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档案管理岗位责任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负责人职责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1、组织宣传、贯彻、执行学校及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关于档案工作各项规章制度。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2、加强对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档案工作的领导，将档案工作纳入整体发展计划，列入议事日程，督促各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项目组按要求做好应做的工作。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档案员职责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1、贯彻实施学校及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档案管理制度。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、负责收集、整理、立卷和归档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工作过程形成的各种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档案材料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3、负责维护档案的完整、准确与安全，并为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的各项工作需要提供服务。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4、按年度向学校报送完整且备于查询的各类档案统计材料。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 w:rsidR="0012542D">
        <w:rPr>
          <w:rFonts w:ascii="仿宋_GB2312" w:eastAsia="仿宋_GB2312" w:hAnsi="仿宋_GB2312" w:cs="仿宋_GB2312" w:hint="eastAsia"/>
          <w:sz w:val="32"/>
          <w:szCs w:val="32"/>
          <w:lang w:val="en-US"/>
        </w:rPr>
        <w:t>兼职档案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人员职责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在项目研究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过程中，负责</w:t>
      </w:r>
      <w:r w:rsidR="0012542D">
        <w:rPr>
          <w:rFonts w:ascii="仿宋_GB2312" w:eastAsia="仿宋_GB2312" w:hAnsi="仿宋_GB2312" w:cs="仿宋_GB2312" w:hint="eastAsia"/>
          <w:sz w:val="32"/>
          <w:szCs w:val="32"/>
        </w:rPr>
        <w:t>本项目组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各类档案的收集、整理与立卷工作。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2542D">
        <w:rPr>
          <w:rFonts w:ascii="仿宋_GB2312" w:eastAsia="仿宋_GB2312" w:hAnsi="仿宋_GB2312" w:cs="仿宋_GB2312" w:hint="eastAsia"/>
          <w:sz w:val="32"/>
          <w:szCs w:val="32"/>
        </w:rPr>
        <w:t>、根据本项目中</w:t>
      </w:r>
      <w:r>
        <w:rPr>
          <w:rFonts w:ascii="仿宋_GB2312" w:eastAsia="仿宋_GB2312" w:hAnsi="仿宋_GB2312" w:cs="仿宋_GB2312" w:hint="eastAsia"/>
          <w:sz w:val="32"/>
          <w:szCs w:val="32"/>
        </w:rPr>
        <w:t>不同种类文件材料的形成特征，制定案卷类目，合理分类存放，同时便于日常应用，坚持日常整理。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3、负责项目文件材料的形成、积累、保管和整理归档工作，保证归档文件材料完整、准确、系统。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4、需要归档的项</w:t>
      </w:r>
      <w:r w:rsidR="00B27FA8">
        <w:rPr>
          <w:rFonts w:ascii="仿宋_GB2312" w:eastAsia="仿宋_GB2312" w:hAnsi="仿宋_GB2312" w:cs="仿宋_GB2312" w:hint="eastAsia"/>
          <w:sz w:val="32"/>
          <w:szCs w:val="32"/>
        </w:rPr>
        <w:t>目案卷，做到组卷合理、页号编写准确、案卷目录清楚、</w:t>
      </w:r>
      <w:r>
        <w:rPr>
          <w:rFonts w:ascii="仿宋_GB2312" w:eastAsia="仿宋_GB2312" w:hAnsi="仿宋_GB2312" w:cs="仿宋_GB2312" w:hint="eastAsia"/>
          <w:sz w:val="32"/>
          <w:szCs w:val="32"/>
        </w:rPr>
        <w:t>案卷标题简明扼要。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5、保管好项目应归档的案卷，注意文件材料的安全和保密。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6、积极配合档案员做好项目档案的归档工作。</w:t>
      </w:r>
    </w:p>
    <w:p w:rsidR="00251BC0" w:rsidRDefault="00251BC0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:rsidR="00251BC0" w:rsidRDefault="00516F85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档案的收集与归档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收集归档范围</w:t>
      </w:r>
    </w:p>
    <w:p w:rsidR="00251BC0" w:rsidRDefault="00301F9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516F85">
        <w:rPr>
          <w:rFonts w:ascii="仿宋_GB2312" w:eastAsia="仿宋_GB2312" w:hAnsi="仿宋_GB2312" w:cs="仿宋_GB2312" w:hint="eastAsia"/>
          <w:sz w:val="32"/>
          <w:szCs w:val="32"/>
        </w:rPr>
        <w:t>缮印发出的公文以及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516F85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134A1F">
        <w:rPr>
          <w:rFonts w:ascii="仿宋_GB2312" w:eastAsia="仿宋_GB2312" w:hAnsi="仿宋_GB2312" w:cs="仿宋_GB2312" w:hint="eastAsia"/>
          <w:sz w:val="32"/>
          <w:szCs w:val="32"/>
        </w:rPr>
        <w:t>项目研究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过程中</w:t>
      </w:r>
      <w:r w:rsidR="00516F85">
        <w:rPr>
          <w:rFonts w:ascii="仿宋_GB2312" w:eastAsia="仿宋_GB2312" w:hAnsi="仿宋_GB2312" w:cs="仿宋_GB2312" w:hint="eastAsia"/>
          <w:sz w:val="32"/>
          <w:szCs w:val="32"/>
        </w:rPr>
        <w:t>形成的具有保存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价值的、</w:t>
      </w:r>
      <w:r w:rsidR="00516F85">
        <w:rPr>
          <w:rFonts w:ascii="仿宋_GB2312" w:eastAsia="仿宋_GB2312" w:hAnsi="仿宋_GB2312" w:cs="仿宋_GB2312" w:hint="eastAsia"/>
          <w:sz w:val="32"/>
          <w:szCs w:val="32"/>
        </w:rPr>
        <w:t>与本中心关系密切的各类文件材料，都属于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516F85">
        <w:rPr>
          <w:rFonts w:ascii="仿宋_GB2312" w:eastAsia="仿宋_GB2312" w:hAnsi="仿宋_GB2312" w:cs="仿宋_GB2312" w:hint="eastAsia"/>
          <w:sz w:val="32"/>
          <w:szCs w:val="32"/>
        </w:rPr>
        <w:t>工作过程应收集归档的材料范围。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公文类材料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的规划、年度计划、统计资料、</w:t>
      </w:r>
      <w:r w:rsidR="00FD327E">
        <w:rPr>
          <w:rFonts w:ascii="仿宋_GB2312" w:eastAsia="仿宋_GB2312" w:hAnsi="仿宋_GB2312" w:cs="仿宋_GB2312" w:hint="eastAsia"/>
          <w:sz w:val="32"/>
          <w:szCs w:val="32"/>
        </w:rPr>
        <w:t>科技资料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、财务审计</w:t>
      </w:r>
      <w:r>
        <w:rPr>
          <w:rFonts w:ascii="仿宋_GB2312" w:eastAsia="仿宋_GB2312" w:hAnsi="仿宋_GB2312" w:cs="仿宋_GB2312" w:hint="eastAsia"/>
          <w:sz w:val="32"/>
          <w:szCs w:val="32"/>
        </w:rPr>
        <w:t>等具有参考价值的文件材料。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2、重要的会议材料，包括会议的通知、报告、决议、总结、决定、通告、通知领导人讲话、典型发言、会议简报、会议记录等。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3、上级机关发来的与本中心有关的决定、决议、指示、命令、条例、规定、计划等文件材料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4、</w:t>
      </w:r>
      <w:r w:rsidR="00301F95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工程中心</w:t>
      </w:r>
      <w:r w:rsidRPr="00F8210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对外的正式发文</w:t>
      </w:r>
      <w:r w:rsidR="00F82104" w:rsidRPr="00F8210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以及</w:t>
      </w:r>
      <w:r w:rsidRPr="00F82104">
        <w:rPr>
          <w:rFonts w:ascii="仿宋_GB2312" w:eastAsia="仿宋_GB2312" w:hAnsi="仿宋_GB2312" w:cs="仿宋_GB2312" w:hint="eastAsia"/>
          <w:color w:val="auto"/>
          <w:sz w:val="32"/>
          <w:szCs w:val="32"/>
        </w:rPr>
        <w:t>与有关单位来往的文书。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经营情况、协议、合同、项目方案。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的请示与上级机关的批复。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的各种工作计划、会议记录、统计报表及简报。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与有关单位签订的合同、协议书等文件材料。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劳动工资、人事档案、委任书、干部任免的文件材料以及关于职工奖励、处分的文件材料。 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职工劳动、工资、福利方面的文件材料。　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项目研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究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文件材料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1、各种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究</w:t>
      </w:r>
      <w:r>
        <w:rPr>
          <w:rFonts w:ascii="仿宋_GB2312" w:eastAsia="仿宋_GB2312" w:hAnsi="仿宋_GB2312" w:cs="仿宋_GB2312" w:hint="eastAsia"/>
          <w:sz w:val="32"/>
          <w:szCs w:val="32"/>
        </w:rPr>
        <w:t>的专业会议记录或会议纪要。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究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工作计划、规定、方案、总结与汇报材料。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3、针对</w:t>
      </w:r>
      <w:r w:rsidR="00F82104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究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工作形成的各种调查、检查、考察报告。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、各项决定、决议、规定、标准、规范、制度、守则等。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、科研设备</w:t>
      </w:r>
      <w:r w:rsidR="0012542D">
        <w:rPr>
          <w:rFonts w:ascii="仿宋_GB2312" w:eastAsia="仿宋_GB2312" w:hAnsi="仿宋_GB2312" w:cs="仿宋_GB2312" w:hint="eastAsia"/>
          <w:sz w:val="32"/>
          <w:szCs w:val="32"/>
        </w:rPr>
        <w:t>技术文档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程序代码、音频视频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相应的</w:t>
      </w:r>
      <w:r>
        <w:rPr>
          <w:rFonts w:ascii="仿宋_GB2312" w:eastAsia="仿宋_GB2312" w:hAnsi="仿宋_GB2312" w:cs="仿宋_GB2312" w:hint="eastAsia"/>
          <w:sz w:val="32"/>
          <w:szCs w:val="32"/>
        </w:rPr>
        <w:t>文字材料。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项目研究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过程中重要活动的照片、录音/录像资料。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7</w:t>
      </w:r>
      <w:r w:rsidR="002C702E">
        <w:rPr>
          <w:rFonts w:ascii="仿宋_GB2312" w:eastAsia="仿宋_GB2312" w:hAnsi="仿宋_GB2312" w:cs="仿宋_GB2312" w:hint="eastAsia"/>
          <w:sz w:val="32"/>
          <w:szCs w:val="32"/>
        </w:rPr>
        <w:t>、上级针对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项目研究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而颁发的奖状、奖旗及奖品等。</w:t>
      </w:r>
    </w:p>
    <w:p w:rsidR="00251BC0" w:rsidRDefault="00251BC0" w:rsidP="00FD327E">
      <w:pPr>
        <w:pStyle w:val="1"/>
        <w:spacing w:beforeLines="50" w:before="156" w:afterLines="50" w:after="156"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</w:p>
    <w:p w:rsidR="00251BC0" w:rsidRDefault="00516F85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第四章 归档要求</w:t>
      </w:r>
    </w:p>
    <w:p w:rsidR="00251BC0" w:rsidRDefault="00516F85" w:rsidP="004232DC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归档方法和时间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1、归档的文件材料必须按年度立卷，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内部机构在工作活动中形成的各种有保存价值的文件材料，都要按照本制度的规定，分别立卷归档。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2、各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研究项目组</w:t>
      </w:r>
      <w:r>
        <w:rPr>
          <w:rFonts w:ascii="仿宋_GB2312" w:eastAsia="仿宋_GB2312" w:hAnsi="仿宋_GB2312" w:cs="仿宋_GB2312" w:hint="eastAsia"/>
          <w:sz w:val="32"/>
          <w:szCs w:val="32"/>
        </w:rPr>
        <w:t>均应指定兼职档案人员，负责管理本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项目组</w:t>
      </w:r>
      <w:r>
        <w:rPr>
          <w:rFonts w:ascii="仿宋_GB2312" w:eastAsia="仿宋_GB2312" w:hAnsi="仿宋_GB2312" w:cs="仿宋_GB2312" w:hint="eastAsia"/>
          <w:sz w:val="32"/>
          <w:szCs w:val="32"/>
        </w:rPr>
        <w:t>的文件材料，并保持相对稳定。人员变动应及时通知</w:t>
      </w:r>
      <w:r w:rsidRPr="00AA4A58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lastRenderedPageBreak/>
        <w:t>3、</w:t>
      </w:r>
      <w:r>
        <w:rPr>
          <w:rFonts w:ascii="仿宋_GB2312" w:eastAsia="仿宋_GB2312" w:hAnsi="仿宋_GB2312" w:cs="仿宋_GB2312" w:hint="eastAsia"/>
          <w:sz w:val="32"/>
          <w:szCs w:val="32"/>
        </w:rPr>
        <w:t>凡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项目形成的文件，由各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组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兼职档案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人员负责收集，交由档案员归档。　　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、一项工作完成时(包括一个项目/一个会议/一个问题的解决等)，由各项目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组兼职档案人员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负责收集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整理此次工作的材料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，交由档案室归档。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、外出开会、考察、学习、参观形成或带回应归档的文件材料，在该项活动结束时，应即时交档案员归档。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、每年一月底前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负责人负责对全年形成的各类文件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进行全面、彻底的归档检查，把上年度应归档的全部文件材料移交学校档案室。</w:t>
      </w:r>
    </w:p>
    <w:p w:rsidR="00251BC0" w:rsidRDefault="00516F85">
      <w:pPr>
        <w:pStyle w:val="1"/>
        <w:spacing w:before="4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其它要求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1、应归档的文件材料应由各项目负责人或兼职档案员收集。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2、正文与底稿(签发稿)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主件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与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附件、请示与批复均一起归档。</w:t>
      </w:r>
    </w:p>
    <w:p w:rsidR="00251BC0" w:rsidRDefault="00516F85" w:rsidP="004232DC">
      <w:pPr>
        <w:pStyle w:val="1"/>
        <w:spacing w:before="40" w:line="560" w:lineRule="exact"/>
        <w:ind w:firstLineChars="100" w:firstLine="3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3、归档文件材料检查注意事项与要求：检查应盖公章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检查应有（责任）签字/文件的标题、内容/文件签.收.发日期等。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4、归档的文件材料应是原稿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原件，不得使用复制件替存。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5、归档的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电子资料、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照片、录音/录像材料要有文字说明。</w:t>
      </w:r>
    </w:p>
    <w:p w:rsidR="00251BC0" w:rsidRDefault="00516F85" w:rsidP="004232DC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6、凡是归档的文件材料，必须经过初步整理，把</w:t>
      </w:r>
      <w:r w:rsidR="000C0251">
        <w:rPr>
          <w:rFonts w:ascii="仿宋_GB2312" w:eastAsia="仿宋_GB2312" w:hAnsi="仿宋_GB2312" w:cs="仿宋_GB2312" w:hint="eastAsia"/>
          <w:sz w:val="32"/>
          <w:szCs w:val="32"/>
        </w:rPr>
        <w:t>同一个具体问题的文件材料集中在一起，按文件的先后顺序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排列</w:t>
      </w:r>
      <w:r w:rsidR="000C0251">
        <w:rPr>
          <w:rFonts w:ascii="仿宋_GB2312" w:eastAsia="仿宋_GB2312" w:hAnsi="仿宋_GB2312" w:cs="仿宋_GB2312" w:hint="eastAsia"/>
          <w:sz w:val="32"/>
          <w:szCs w:val="32"/>
        </w:rPr>
        <w:t>，形成完整的文档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51BC0" w:rsidRDefault="00251BC0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:rsidR="00251BC0" w:rsidRDefault="00516F85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档案鉴定</w:t>
      </w:r>
    </w:p>
    <w:p w:rsidR="00251BC0" w:rsidRDefault="00516F85">
      <w:pPr>
        <w:pStyle w:val="1"/>
        <w:spacing w:before="4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AA4A58">
        <w:rPr>
          <w:rFonts w:ascii="仿宋_GB2312" w:eastAsia="仿宋_GB2312" w:hAnsi="仿宋_GB2312" w:cs="仿宋_GB2312" w:hint="eastAsia"/>
          <w:sz w:val="32"/>
          <w:szCs w:val="32"/>
        </w:rPr>
        <w:t>项目</w:t>
      </w:r>
      <w:r w:rsidR="004232DC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 w:rsidR="000C0251">
        <w:rPr>
          <w:rFonts w:ascii="仿宋_GB2312" w:eastAsia="仿宋_GB2312" w:hAnsi="仿宋_GB2312" w:cs="仿宋_GB2312" w:hint="eastAsia"/>
          <w:sz w:val="32"/>
          <w:szCs w:val="32"/>
        </w:rPr>
        <w:t>完成后形成的各类档案，归档</w:t>
      </w:r>
      <w:r>
        <w:rPr>
          <w:rFonts w:ascii="仿宋_GB2312" w:eastAsia="仿宋_GB2312" w:hAnsi="仿宋_GB2312" w:cs="仿宋_GB2312" w:hint="eastAsia"/>
          <w:sz w:val="32"/>
          <w:szCs w:val="32"/>
        </w:rPr>
        <w:t>前的鉴定工作由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完成。</w:t>
      </w:r>
    </w:p>
    <w:p w:rsidR="00251BC0" w:rsidRDefault="00516F85">
      <w:pPr>
        <w:pStyle w:val="1"/>
        <w:spacing w:before="4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 xml:space="preserve">第十二条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任何部门或个人非经允许无权随意销毁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 w:rsidR="00AB2A3C"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档案材料。经确定需要销毁的档案，由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负责人批准后方可销毁。</w:t>
      </w:r>
    </w:p>
    <w:p w:rsidR="00251BC0" w:rsidRDefault="00516F85">
      <w:pPr>
        <w:pStyle w:val="1"/>
        <w:spacing w:before="4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凡是经过认真的鉴定，判定为保存或销毁的档案，必须按照规定的程序，办好鉴定手续。</w:t>
      </w:r>
    </w:p>
    <w:p w:rsidR="00251BC0" w:rsidRDefault="00516F85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第六章 档案借阅管理</w:t>
      </w:r>
    </w:p>
    <w:p w:rsidR="00251BC0" w:rsidRDefault="00516F85" w:rsidP="000C0251">
      <w:pPr>
        <w:pStyle w:val="1"/>
        <w:spacing w:before="40" w:line="560" w:lineRule="exact"/>
        <w:ind w:firstLineChars="200"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档案的借阅，应遵守以下规定: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主任、办公室主任借阅非密级档案可通过档案管理人员办理借阅手续，直接提档；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其他人员需借阅档案时，要经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主任或办公室主任批准，并办理借阅手续。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学校各相关部门借阅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档案，按照学校制定的档案借阅管理标准办理借阅手续。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、外单位来人查阅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档案，需学校主管领导签发意见，否则不得抄录或借出。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、机密、绝密档案借阅一律需学校校长签发。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、借阅档案必须爱护，保持整洁，严禁涂改，注意安全和保密，严禁擅自翻印、抄录、转借、遗失，如确属工作需要摘录和复制，凡属密级档案，必须由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主任批准方可摘录和复制，一般内部档由</w:t>
      </w:r>
      <w:r w:rsidR="00301F95">
        <w:rPr>
          <w:rFonts w:ascii="仿宋_GB2312" w:eastAsia="仿宋_GB2312" w:hAnsi="仿宋_GB2312" w:cs="仿宋_GB2312" w:hint="eastAsia"/>
          <w:sz w:val="32"/>
          <w:szCs w:val="32"/>
        </w:rPr>
        <w:t>工程中心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办公室主任批准方可摘录和复制。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、经批准借阅的档案材料，借出时间不得超过一周，并不得转借他人。需继续使用时，借阅人要办续借手续，并确保档案的完整与安全。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、珍贵的实物档案、重要的</w:t>
      </w:r>
      <w:r w:rsidR="002C702E">
        <w:rPr>
          <w:rFonts w:ascii="仿宋_GB2312" w:eastAsia="仿宋_GB2312" w:hAnsi="仿宋_GB2312" w:cs="仿宋_GB2312" w:hint="eastAsia"/>
          <w:sz w:val="32"/>
          <w:szCs w:val="32"/>
        </w:rPr>
        <w:t>程序代码、音频视频、</w:t>
      </w:r>
      <w:r>
        <w:rPr>
          <w:rFonts w:ascii="仿宋_GB2312" w:eastAsia="仿宋_GB2312" w:hAnsi="仿宋_GB2312" w:cs="仿宋_GB2312" w:hint="eastAsia"/>
          <w:sz w:val="32"/>
          <w:szCs w:val="32"/>
        </w:rPr>
        <w:t>照片、底片、缩微胶片等一律不借出。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</w:t>
      </w:r>
      <w:r w:rsidR="000C0251">
        <w:rPr>
          <w:rFonts w:ascii="仿宋_GB2312" w:eastAsia="仿宋_GB2312" w:hAnsi="仿宋_GB2312" w:cs="仿宋_GB2312" w:hint="eastAsia"/>
          <w:sz w:val="32"/>
          <w:szCs w:val="32"/>
        </w:rPr>
        <w:t>、按期返还借阅的档案材料，归档</w:t>
      </w:r>
      <w:r>
        <w:rPr>
          <w:rFonts w:ascii="仿宋_GB2312" w:eastAsia="仿宋_GB2312" w:hAnsi="仿宋_GB2312" w:cs="仿宋_GB2312" w:hint="eastAsia"/>
          <w:sz w:val="32"/>
          <w:szCs w:val="32"/>
        </w:rPr>
        <w:t>时要认真检查核对，发现问题及时追查。</w:t>
      </w:r>
    </w:p>
    <w:p w:rsidR="00251BC0" w:rsidRDefault="00516F85" w:rsidP="000C0251">
      <w:pPr>
        <w:pStyle w:val="1"/>
        <w:spacing w:before="4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9、绝密、机密档案以及引进技术资料、科研成果、发明创造、专利、新产品、新工艺等技术文件材料，须严格履行审批手续，未经批准的，严禁提供利用。</w:t>
      </w:r>
    </w:p>
    <w:p w:rsidR="00251BC0" w:rsidRDefault="00516F85">
      <w:pPr>
        <w:pStyle w:val="1"/>
        <w:spacing w:before="4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10、发现有泄密</w:t>
      </w:r>
      <w:r w:rsidR="000C0251">
        <w:rPr>
          <w:rFonts w:ascii="仿宋_GB2312" w:eastAsia="仿宋_GB2312" w:hAnsi="仿宋_GB2312" w:cs="仿宋_GB2312" w:hint="eastAsia"/>
          <w:sz w:val="32"/>
          <w:szCs w:val="32"/>
        </w:rPr>
        <w:t>档</w:t>
      </w:r>
      <w:r>
        <w:rPr>
          <w:rFonts w:ascii="仿宋_GB2312" w:eastAsia="仿宋_GB2312" w:hAnsi="仿宋_GB2312" w:cs="仿宋_GB2312" w:hint="eastAsia"/>
          <w:sz w:val="32"/>
          <w:szCs w:val="32"/>
        </w:rPr>
        <w:t>案的事件，应立即报告，及时追查。</w:t>
      </w:r>
    </w:p>
    <w:p w:rsidR="00251BC0" w:rsidRDefault="00251BC0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</w:p>
    <w:p w:rsidR="00251BC0" w:rsidRDefault="00516F85" w:rsidP="00FD327E">
      <w:pPr>
        <w:pStyle w:val="1"/>
        <w:spacing w:beforeLines="50" w:before="156" w:afterLines="50" w:after="156" w:line="5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第七章 附则</w:t>
      </w:r>
    </w:p>
    <w:p w:rsidR="00251BC0" w:rsidRDefault="00516F85">
      <w:pPr>
        <w:pStyle w:val="1"/>
        <w:spacing w:before="4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本办法自下发之日起实施。</w:t>
      </w: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01019F" w:rsidRPr="0001019F" w:rsidRDefault="0001019F" w:rsidP="0001019F">
      <w:pPr>
        <w:spacing w:line="360" w:lineRule="auto"/>
        <w:jc w:val="right"/>
        <w:rPr>
          <w:rFonts w:ascii="仿宋_GB2312" w:eastAsia="仿宋_GB2312" w:hAnsi="仿宋_GB2312" w:cs="仿宋_GB2312" w:hint="eastAsia"/>
          <w:sz w:val="30"/>
          <w:szCs w:val="30"/>
          <w:lang w:eastAsia="zh-CN"/>
        </w:rPr>
      </w:pPr>
      <w:r w:rsidRPr="0001019F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河南省智慧教育与智能技术应用工程技术研究中心</w:t>
      </w:r>
    </w:p>
    <w:p w:rsidR="00251BC0" w:rsidRDefault="0001019F" w:rsidP="0001019F">
      <w:pPr>
        <w:spacing w:line="360" w:lineRule="auto"/>
        <w:jc w:val="right"/>
        <w:rPr>
          <w:rFonts w:ascii="仿宋_GB2312" w:eastAsia="仿宋_GB2312" w:hAnsi="仿宋_GB2312" w:cs="仿宋_GB2312"/>
          <w:sz w:val="30"/>
          <w:szCs w:val="30"/>
          <w:lang w:eastAsia="zh-CN"/>
        </w:rPr>
      </w:pPr>
      <w:r w:rsidRPr="0001019F"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>二○一九年一月二十八日</w:t>
      </w:r>
      <w:bookmarkStart w:id="0" w:name="_GoBack"/>
      <w:bookmarkEnd w:id="0"/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p w:rsidR="00251BC0" w:rsidRDefault="00251BC0">
      <w:pPr>
        <w:spacing w:line="360" w:lineRule="auto"/>
        <w:rPr>
          <w:rFonts w:ascii="仿宋_GB2312" w:eastAsia="仿宋_GB2312" w:hAnsi="仿宋_GB2312" w:cs="仿宋_GB2312"/>
          <w:sz w:val="30"/>
          <w:szCs w:val="30"/>
          <w:lang w:eastAsia="zh-CN"/>
        </w:rPr>
      </w:pPr>
    </w:p>
    <w:sectPr w:rsidR="00251BC0" w:rsidSect="00251BC0">
      <w:pgSz w:w="11906" w:h="16838"/>
      <w:pgMar w:top="1134" w:right="1134" w:bottom="1134" w:left="1134" w:header="709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546" w:rsidRDefault="008B3546">
      <w:r>
        <w:separator/>
      </w:r>
    </w:p>
  </w:endnote>
  <w:endnote w:type="continuationSeparator" w:id="0">
    <w:p w:rsidR="008B3546" w:rsidRDefault="008B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546" w:rsidRDefault="008B3546">
      <w:r>
        <w:separator/>
      </w:r>
    </w:p>
  </w:footnote>
  <w:footnote w:type="continuationSeparator" w:id="0">
    <w:p w:rsidR="008B3546" w:rsidRDefault="008B3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 fillcolor="#00a2ff">
      <v:fill color="#00a2ff"/>
      <v:stroke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7FA8"/>
    <w:rsid w:val="0001019F"/>
    <w:rsid w:val="000C0251"/>
    <w:rsid w:val="0012542D"/>
    <w:rsid w:val="00134A1F"/>
    <w:rsid w:val="00251BC0"/>
    <w:rsid w:val="00286CBB"/>
    <w:rsid w:val="00293671"/>
    <w:rsid w:val="002C702E"/>
    <w:rsid w:val="002F6B7B"/>
    <w:rsid w:val="00301F95"/>
    <w:rsid w:val="004232DC"/>
    <w:rsid w:val="00516F85"/>
    <w:rsid w:val="0060025F"/>
    <w:rsid w:val="008010AA"/>
    <w:rsid w:val="008B3546"/>
    <w:rsid w:val="00AA4A58"/>
    <w:rsid w:val="00AB2A3C"/>
    <w:rsid w:val="00B27FA8"/>
    <w:rsid w:val="00B43829"/>
    <w:rsid w:val="00F82104"/>
    <w:rsid w:val="00FD327E"/>
    <w:rsid w:val="078418C3"/>
    <w:rsid w:val="1E3504F6"/>
    <w:rsid w:val="1EEC1B7A"/>
    <w:rsid w:val="249364AC"/>
    <w:rsid w:val="287A03D6"/>
    <w:rsid w:val="34B521E6"/>
    <w:rsid w:val="3D254E11"/>
    <w:rsid w:val="3E736450"/>
    <w:rsid w:val="45FC00AF"/>
    <w:rsid w:val="4629257A"/>
    <w:rsid w:val="53881123"/>
    <w:rsid w:val="54510EEB"/>
    <w:rsid w:val="549A3BD7"/>
    <w:rsid w:val="5BF765C7"/>
    <w:rsid w:val="64DF0ECE"/>
    <w:rsid w:val="67207477"/>
    <w:rsid w:val="67923520"/>
    <w:rsid w:val="763C1F4F"/>
    <w:rsid w:val="76407CB8"/>
    <w:rsid w:val="7750257A"/>
    <w:rsid w:val="7BEC32AE"/>
    <w:rsid w:val="7D0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a2ff">
      <v:fill color="#00a2ff"/>
      <v:stroke weight="2pt"/>
    </o:shapedefaults>
    <o:shapelayout v:ext="edit">
      <o:idmap v:ext="edit" data="1"/>
    </o:shapelayout>
  </w:shapeDefaults>
  <w:doNotEmbedSmartTags/>
  <w:decimalSymbol w:val="."/>
  <w:listSeparator w:val=","/>
  <w15:docId w15:val="{7487F431-6BB2-4F19-B0B0-CD9E3A8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C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1BC0"/>
    <w:rPr>
      <w:u w:val="single"/>
    </w:rPr>
  </w:style>
  <w:style w:type="paragraph" w:styleId="a4">
    <w:name w:val="Normal (Web)"/>
    <w:basedOn w:val="a"/>
    <w:qFormat/>
    <w:locked/>
    <w:rsid w:val="00251BC0"/>
  </w:style>
  <w:style w:type="paragraph" w:customStyle="1" w:styleId="1">
    <w:name w:val="正文1"/>
    <w:rsid w:val="00251BC0"/>
    <w:rPr>
      <w:rFonts w:ascii="Arial Unicode MS" w:eastAsia="Helvetica Neue" w:hAnsi="Arial Unicode MS" w:cs="Arial Unicode MS"/>
      <w:color w:val="000000"/>
      <w:sz w:val="22"/>
      <w:szCs w:val="22"/>
      <w:lang w:val="zh-CN"/>
    </w:rPr>
  </w:style>
  <w:style w:type="paragraph" w:styleId="a5">
    <w:name w:val="header"/>
    <w:basedOn w:val="a"/>
    <w:link w:val="a6"/>
    <w:locked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D327E"/>
    <w:rPr>
      <w:sz w:val="18"/>
      <w:szCs w:val="18"/>
      <w:lang w:eastAsia="en-US"/>
    </w:rPr>
  </w:style>
  <w:style w:type="paragraph" w:styleId="a7">
    <w:name w:val="footer"/>
    <w:basedOn w:val="a"/>
    <w:link w:val="a8"/>
    <w:locked/>
    <w:rsid w:val="00FD327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D327E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2019-02-28T01:44:00Z</dcterms:created>
  <dcterms:modified xsi:type="dcterms:W3CDTF">2020-11-18T07:34:00Z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