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3CFD">
      <w:pPr>
        <w:spacing w:line="314" w:lineRule="auto"/>
        <w:rPr>
          <w:rFonts w:ascii="Arial"/>
          <w:sz w:val="21"/>
        </w:rPr>
      </w:pPr>
    </w:p>
    <w:p w14:paraId="50DC8FF0">
      <w:pPr>
        <w:spacing w:before="82" w:line="218" w:lineRule="auto"/>
        <w:ind w:left="2847"/>
        <w:outlineLvl w:val="0"/>
        <w:rPr>
          <w:rFonts w:ascii="宋体" w:hAnsi="宋体" w:eastAsia="宋体" w:cs="宋体"/>
          <w:sz w:val="25"/>
          <w:szCs w:val="2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"/>
          <w:sz w:val="25"/>
          <w:szCs w:val="25"/>
        </w:rPr>
        <w:t>询价清单及技术服务要求</w:t>
      </w:r>
    </w:p>
    <w:p w14:paraId="4236DFB6">
      <w:pPr>
        <w:spacing w:before="118" w:line="183" w:lineRule="auto"/>
        <w:ind w:left="67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一、采购清单、技术参数及要求</w:t>
      </w:r>
    </w:p>
    <w:tbl>
      <w:tblPr>
        <w:tblStyle w:val="5"/>
        <w:tblW w:w="8271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759"/>
        <w:gridCol w:w="779"/>
        <w:gridCol w:w="958"/>
        <w:gridCol w:w="4468"/>
      </w:tblGrid>
      <w:tr w14:paraId="14821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07" w:type="dxa"/>
            <w:vAlign w:val="center"/>
          </w:tcPr>
          <w:p w14:paraId="042CEEC0">
            <w:pPr>
              <w:pStyle w:val="6"/>
              <w:spacing w:before="32" w:line="203" w:lineRule="auto"/>
              <w:ind w:left="364" w:right="139" w:hanging="210"/>
              <w:jc w:val="center"/>
            </w:pPr>
            <w:r>
              <w:rPr>
                <w:spacing w:val="9"/>
              </w:rPr>
              <w:t>采购内</w:t>
            </w:r>
            <w:r>
              <w:t>容</w:t>
            </w:r>
          </w:p>
        </w:tc>
        <w:tc>
          <w:tcPr>
            <w:tcW w:w="759" w:type="dxa"/>
            <w:vAlign w:val="center"/>
          </w:tcPr>
          <w:p w14:paraId="11E6671A">
            <w:pPr>
              <w:pStyle w:val="6"/>
              <w:spacing w:before="12" w:line="220" w:lineRule="auto"/>
              <w:jc w:val="center"/>
            </w:pPr>
            <w:r>
              <w:rPr>
                <w:spacing w:val="7"/>
              </w:rPr>
              <w:t>是否</w:t>
            </w:r>
          </w:p>
          <w:p w14:paraId="71D5EEB3">
            <w:pPr>
              <w:pStyle w:val="6"/>
              <w:spacing w:before="26" w:line="180" w:lineRule="auto"/>
              <w:jc w:val="center"/>
            </w:pPr>
            <w:r>
              <w:rPr>
                <w:spacing w:val="15"/>
              </w:rPr>
              <w:t>进口</w:t>
            </w:r>
          </w:p>
        </w:tc>
        <w:tc>
          <w:tcPr>
            <w:tcW w:w="779" w:type="dxa"/>
            <w:vAlign w:val="center"/>
          </w:tcPr>
          <w:p w14:paraId="1CCC4532">
            <w:pPr>
              <w:pStyle w:val="6"/>
              <w:spacing w:before="22" w:line="219" w:lineRule="auto"/>
              <w:jc w:val="center"/>
            </w:pPr>
            <w:r>
              <w:rPr>
                <w:spacing w:val="-3"/>
              </w:rPr>
              <w:t>数量</w:t>
            </w:r>
          </w:p>
        </w:tc>
        <w:tc>
          <w:tcPr>
            <w:tcW w:w="958" w:type="dxa"/>
            <w:vAlign w:val="center"/>
          </w:tcPr>
          <w:p w14:paraId="4344F2CE">
            <w:pPr>
              <w:pStyle w:val="6"/>
              <w:spacing w:before="23" w:line="220" w:lineRule="auto"/>
              <w:jc w:val="center"/>
            </w:pPr>
            <w:r>
              <w:rPr>
                <w:spacing w:val="-2"/>
              </w:rPr>
              <w:t>计量单</w:t>
            </w:r>
            <w:r>
              <w:t>位</w:t>
            </w:r>
          </w:p>
        </w:tc>
        <w:tc>
          <w:tcPr>
            <w:tcW w:w="4468" w:type="dxa"/>
            <w:vAlign w:val="center"/>
          </w:tcPr>
          <w:p w14:paraId="5F4AC6F8">
            <w:pPr>
              <w:pStyle w:val="6"/>
              <w:spacing w:before="32" w:line="219" w:lineRule="auto"/>
              <w:jc w:val="center"/>
            </w:pPr>
            <w:r>
              <w:rPr>
                <w:spacing w:val="-2"/>
              </w:rPr>
              <w:t>主要参数</w:t>
            </w:r>
          </w:p>
        </w:tc>
      </w:tr>
      <w:tr w14:paraId="5394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9" w:hRule="atLeast"/>
        </w:trPr>
        <w:tc>
          <w:tcPr>
            <w:tcW w:w="1307" w:type="dxa"/>
            <w:vAlign w:val="top"/>
          </w:tcPr>
          <w:p w14:paraId="701B315E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1517EF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23E7474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A0B32C3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ED6D892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0553F21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0FA7ECF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3991704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20372E28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225C3DE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1BFDBB8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05D2D43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21835FE1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A7D797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AA92B02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73BFDB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D9851F2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525219D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5DCEC265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  <w:lang w:val="en-US" w:eastAsia="zh-CN"/>
              </w:rPr>
              <w:t>笔记本</w:t>
            </w:r>
            <w:r>
              <w:rPr>
                <w:spacing w:val="2"/>
              </w:rPr>
              <w:t>电脑</w:t>
            </w:r>
          </w:p>
        </w:tc>
        <w:tc>
          <w:tcPr>
            <w:tcW w:w="759" w:type="dxa"/>
            <w:vAlign w:val="top"/>
          </w:tcPr>
          <w:p w14:paraId="7F056824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36885E2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8B42D27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42617C8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D25B732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E3F506C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2BFDEEC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3D6B45E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BF516D9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037854E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37BCEA5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FE18731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2696689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A5EEFD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0C51583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A654D6F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6B4566F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AA4880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4ACB64F">
            <w:pPr>
              <w:pStyle w:val="6"/>
              <w:spacing w:before="20" w:line="230" w:lineRule="auto"/>
              <w:ind w:right="15"/>
              <w:jc w:val="center"/>
              <w:rPr>
                <w:spacing w:val="2"/>
              </w:rPr>
            </w:pPr>
            <w:r>
              <w:rPr>
                <w:spacing w:val="2"/>
              </w:rPr>
              <w:t>否</w:t>
            </w:r>
          </w:p>
        </w:tc>
        <w:tc>
          <w:tcPr>
            <w:tcW w:w="779" w:type="dxa"/>
            <w:vAlign w:val="top"/>
          </w:tcPr>
          <w:p w14:paraId="75B6A325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B14EDC7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AFCC51B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6E0A5A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DBC5534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2D4DBCA2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890B82D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DC86A1D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559FACB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06972A1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B5244A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D1D06D3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E59C6DD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58A00A5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A9B9E70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29E23A81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4F95AFDC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194660ED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2384AC0">
            <w:pPr>
              <w:pStyle w:val="6"/>
              <w:spacing w:before="20" w:line="230" w:lineRule="auto"/>
              <w:ind w:right="15"/>
              <w:jc w:val="center"/>
              <w:rPr>
                <w:spacing w:val="2"/>
              </w:rPr>
            </w:pPr>
            <w:r>
              <w:rPr>
                <w:spacing w:val="2"/>
              </w:rPr>
              <w:t>20</w:t>
            </w:r>
          </w:p>
        </w:tc>
        <w:tc>
          <w:tcPr>
            <w:tcW w:w="958" w:type="dxa"/>
            <w:vAlign w:val="top"/>
          </w:tcPr>
          <w:p w14:paraId="35666ECB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DF67D7B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29C78DF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64FCF57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362E4FE5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2EC898F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E646D3E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06C8956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295A0DC8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D33A7C6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A52631E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AE73225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85D8CF8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F7C798C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59B7C0D2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02845567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A5DAC8B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720AF7A6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</w:p>
          <w:p w14:paraId="68FD93DC">
            <w:pPr>
              <w:pStyle w:val="6"/>
              <w:spacing w:before="20" w:line="230" w:lineRule="auto"/>
              <w:ind w:left="136" w:right="15" w:firstLine="214" w:firstLineChars="100"/>
              <w:jc w:val="both"/>
              <w:rPr>
                <w:spacing w:val="2"/>
              </w:rPr>
            </w:pPr>
            <w:r>
              <w:rPr>
                <w:spacing w:val="2"/>
              </w:rPr>
              <w:t>台</w:t>
            </w:r>
          </w:p>
        </w:tc>
        <w:tc>
          <w:tcPr>
            <w:tcW w:w="4468" w:type="dxa"/>
            <w:vAlign w:val="top"/>
          </w:tcPr>
          <w:p w14:paraId="0007E788">
            <w:pPr>
              <w:pStyle w:val="6"/>
              <w:spacing w:before="28" w:line="219" w:lineRule="auto"/>
              <w:rPr>
                <w:spacing w:val="-1"/>
              </w:rPr>
            </w:pPr>
          </w:p>
          <w:p w14:paraId="2CEEEB55">
            <w:pPr>
              <w:pStyle w:val="6"/>
              <w:spacing w:before="28" w:line="219" w:lineRule="auto"/>
              <w:ind w:left="136"/>
            </w:pPr>
            <w:r>
              <w:rPr>
                <w:spacing w:val="-1"/>
              </w:rPr>
              <w:t>一、设备类型</w:t>
            </w:r>
          </w:p>
          <w:p w14:paraId="659E98F8">
            <w:pPr>
              <w:pStyle w:val="6"/>
              <w:spacing w:before="18" w:line="222" w:lineRule="auto"/>
              <w:ind w:left="136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便携式移动工作站笔记本，专为工程领域设计，可满足工程设计、现场踏勘、图纸绘制、模型查看与编辑等高频场景需求，兼顾便携性与专业性能，适配户外及室内多场景使用。</w:t>
            </w:r>
          </w:p>
          <w:p w14:paraId="265F5D2B">
            <w:pPr>
              <w:pStyle w:val="6"/>
              <w:spacing w:before="18" w:line="222" w:lineRule="auto"/>
              <w:ind w:left="136"/>
              <w:rPr>
                <w:spacing w:val="7"/>
              </w:rPr>
            </w:pPr>
            <w:r>
              <w:rPr>
                <w:spacing w:val="7"/>
              </w:rPr>
              <w:t>二、处理器(</w:t>
            </w:r>
            <w:r>
              <w:t>CPU</w:t>
            </w:r>
            <w:r>
              <w:rPr>
                <w:spacing w:val="7"/>
              </w:rPr>
              <w:t>)</w:t>
            </w:r>
          </w:p>
          <w:p w14:paraId="5D638B47">
            <w:pPr>
              <w:pStyle w:val="6"/>
              <w:spacing w:before="18" w:line="222" w:lineRule="auto"/>
              <w:ind w:left="136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英特尔酷睿i9或AMD Ryzen9高端旗舰级别处理器，核心性能拉满，专为专业场景优化，彻底解决多任务并行及复杂模型运算的性能瓶颈，保障工程类专业软件（如BIM建模、Civil 3D地形分析）全程高速运行无卡顿。</w:t>
            </w:r>
          </w:p>
          <w:p w14:paraId="07A03AD1">
            <w:pPr>
              <w:pStyle w:val="6"/>
              <w:spacing w:before="18" w:line="222" w:lineRule="auto"/>
              <w:ind w:left="136"/>
              <w:rPr>
                <w:rFonts w:hint="eastAsia" w:eastAsia="宋体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en-US"/>
              </w:rPr>
              <w:t>基准频率≥3.0GHz，睿频≥5.0GHz，核心数≥16核（性能核+能效核组合），缓存≥36MB，支持PCIe 5.0接口</w:t>
            </w:r>
            <w:r>
              <w:rPr>
                <w:rFonts w:hint="eastAsia"/>
                <w:spacing w:val="-1"/>
                <w:lang w:val="en-US" w:eastAsia="zh-CN"/>
              </w:rPr>
              <w:t>。</w:t>
            </w:r>
          </w:p>
          <w:p w14:paraId="3C5154EC">
            <w:pPr>
              <w:pStyle w:val="6"/>
              <w:spacing w:before="17" w:line="239" w:lineRule="auto"/>
              <w:ind w:left="136" w:right="559"/>
            </w:pPr>
            <w:r>
              <w:rPr>
                <w:spacing w:val="8"/>
              </w:rPr>
              <w:t>三、内存(</w:t>
            </w:r>
            <w:r>
              <w:t>RAM</w:t>
            </w:r>
            <w:r>
              <w:rPr>
                <w:spacing w:val="8"/>
              </w:rPr>
              <w:t>)</w:t>
            </w:r>
          </w:p>
          <w:p w14:paraId="2450C47D">
            <w:pPr>
              <w:pStyle w:val="6"/>
              <w:spacing w:line="220" w:lineRule="auto"/>
              <w:ind w:left="136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</w:rPr>
              <w:t>容量：≥</w:t>
            </w:r>
            <w:r>
              <w:rPr>
                <w:rFonts w:hint="eastAsia"/>
                <w:spacing w:val="3"/>
                <w:lang w:val="en-US" w:eastAsia="zh-CN"/>
              </w:rPr>
              <w:t>128</w:t>
            </w:r>
            <w:r>
              <w:rPr>
                <w:rFonts w:hint="eastAsia"/>
                <w:spacing w:val="3"/>
              </w:rPr>
              <w:t>GB，最低不可低于</w:t>
            </w:r>
            <w:r>
              <w:rPr>
                <w:rFonts w:hint="eastAsia"/>
                <w:spacing w:val="3"/>
                <w:lang w:val="en-US" w:eastAsia="zh-CN"/>
              </w:rPr>
              <w:t>64</w:t>
            </w:r>
            <w:r>
              <w:rPr>
                <w:rFonts w:hint="eastAsia"/>
                <w:spacing w:val="3"/>
              </w:rPr>
              <w:t>GB，满足大模型、多图纸同时加载需求</w:t>
            </w:r>
          </w:p>
          <w:p w14:paraId="454C7FD6">
            <w:pPr>
              <w:pStyle w:val="6"/>
              <w:spacing w:line="220" w:lineRule="auto"/>
              <w:ind w:left="136"/>
              <w:rPr>
                <w:rFonts w:hint="eastAsia" w:eastAsia="宋体"/>
                <w:spacing w:val="3"/>
                <w:lang w:eastAsia="zh-CN"/>
              </w:rPr>
            </w:pPr>
            <w:r>
              <w:rPr>
                <w:rFonts w:hint="eastAsia"/>
                <w:spacing w:val="3"/>
              </w:rPr>
              <w:t>类型：DDR5高频内存，具备高速读写性能，支持多专业软件并行运行，杜绝卡顿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  <w:p w14:paraId="19F708F6">
            <w:pPr>
              <w:pStyle w:val="6"/>
              <w:spacing w:line="220" w:lineRule="auto"/>
              <w:ind w:left="136"/>
            </w:pPr>
            <w:r>
              <w:rPr>
                <w:spacing w:val="3"/>
              </w:rPr>
              <w:t>四、专业图形显卡(硬性要求)</w:t>
            </w:r>
          </w:p>
          <w:p w14:paraId="58BB9A88">
            <w:pPr>
              <w:pStyle w:val="6"/>
              <w:spacing w:line="219" w:lineRule="auto"/>
              <w:ind w:left="136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</w:rPr>
              <w:t>类型：高端专业独立图形显卡，优先选用NVIDIA RTX A系列，适配工程专业图形处理需求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531E2F43">
            <w:pPr>
              <w:pStyle w:val="6"/>
              <w:spacing w:line="219" w:lineRule="auto"/>
              <w:ind w:left="136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显存：≥16GB GDDR6独立专业显存，保障复杂模型、高清图纸流畅渲染与编辑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08DFC9BD">
            <w:pPr>
              <w:pStyle w:val="6"/>
              <w:spacing w:line="219" w:lineRule="auto"/>
              <w:ind w:left="13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</w:rPr>
              <w:t>软件认证：支持AutoCAD、Revit、BIM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spacing w:val="-1"/>
              </w:rPr>
              <w:t>SketchUp、Civil 3D、ArcGIS、广联达等工程类专业软件认证及性能优化，确保软件运行稳定、</w:t>
            </w:r>
            <w:r>
              <w:rPr>
                <w:spacing w:val="1"/>
              </w:rPr>
              <w:t>硬盘存储</w:t>
            </w:r>
            <w:r>
              <w:rPr>
                <w:rFonts w:hint="eastAsia"/>
                <w:spacing w:val="1"/>
                <w:lang w:eastAsia="zh-CN"/>
              </w:rPr>
              <w:t>。</w:t>
            </w:r>
          </w:p>
          <w:p w14:paraId="7AFA0535">
            <w:pPr>
              <w:pStyle w:val="6"/>
              <w:numPr>
                <w:ilvl w:val="0"/>
                <w:numId w:val="1"/>
              </w:numPr>
              <w:spacing w:before="31" w:line="219" w:lineRule="auto"/>
              <w:ind w:left="136"/>
              <w:rPr>
                <w:spacing w:val="-1"/>
              </w:rPr>
            </w:pPr>
            <w:r>
              <w:rPr>
                <w:spacing w:val="-1"/>
              </w:rPr>
              <w:t>硬盘</w:t>
            </w:r>
          </w:p>
          <w:p w14:paraId="0DCB56F5">
            <w:pPr>
              <w:pStyle w:val="6"/>
              <w:numPr>
                <w:ilvl w:val="0"/>
                <w:numId w:val="0"/>
              </w:numPr>
              <w:spacing w:before="31" w:line="219" w:lineRule="auto"/>
              <w:ind w:firstLine="208" w:firstLineChars="100"/>
            </w:pPr>
            <w:r>
              <w:rPr>
                <w:spacing w:val="-1"/>
              </w:rPr>
              <w:t>≥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TB NVMe高速固态硬盘</w:t>
            </w:r>
          </w:p>
          <w:p w14:paraId="17B98FB1">
            <w:pPr>
              <w:pStyle w:val="6"/>
              <w:spacing w:before="10" w:line="246" w:lineRule="auto"/>
              <w:ind w:left="136"/>
            </w:pPr>
            <w:r>
              <w:rPr>
                <w:spacing w:val="3"/>
              </w:rPr>
              <w:t>读写速度快，系统稳定，加载大图纸、</w:t>
            </w:r>
            <w:r>
              <w:rPr>
                <w:spacing w:val="-4"/>
              </w:rPr>
              <w:t>大模型无卡顿</w:t>
            </w:r>
          </w:p>
          <w:p w14:paraId="217FD345">
            <w:pPr>
              <w:pStyle w:val="6"/>
              <w:numPr>
                <w:ilvl w:val="0"/>
                <w:numId w:val="1"/>
              </w:numPr>
              <w:spacing w:before="9" w:line="263" w:lineRule="auto"/>
              <w:ind w:left="136" w:leftChars="0" w:right="245" w:firstLine="0" w:firstLineChars="0"/>
              <w:rPr>
                <w:spacing w:val="9"/>
              </w:rPr>
            </w:pPr>
            <w:r>
              <w:rPr>
                <w:spacing w:val="3"/>
              </w:rPr>
              <w:t>屏幕(工程制图专用)</w:t>
            </w:r>
            <w:r>
              <w:rPr>
                <w:spacing w:val="9"/>
              </w:rPr>
              <w:t xml:space="preserve"> </w:t>
            </w:r>
          </w:p>
          <w:p w14:paraId="02FE9BE6">
            <w:pPr>
              <w:pStyle w:val="6"/>
              <w:numPr>
                <w:ilvl w:val="0"/>
                <w:numId w:val="0"/>
              </w:numPr>
              <w:spacing w:before="9" w:line="263" w:lineRule="auto"/>
              <w:ind w:left="136" w:leftChars="0" w:right="245" w:rightChars="0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spacing w:val="-1"/>
              </w:rPr>
              <w:t>尺寸</w:t>
            </w:r>
            <w:r>
              <w:rPr>
                <w:rFonts w:hint="eastAsia"/>
                <w:spacing w:val="-1"/>
              </w:rPr>
              <w:t>：≥14英寸，兼顾便携性与制图视野，适合现场及室内制图使用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15B07E70">
            <w:pPr>
              <w:pStyle w:val="6"/>
              <w:spacing w:before="9" w:line="263" w:lineRule="auto"/>
              <w:ind w:left="136" w:right="245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rFonts w:hint="eastAsia"/>
                <w:spacing w:val="-1"/>
              </w:rPr>
              <w:t>分辨率：≥1920×1080（全高清），优先选择高色域屏幕，保障图纸细节清晰呈现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3085D73A">
            <w:pPr>
              <w:pStyle w:val="6"/>
              <w:spacing w:before="9" w:line="263" w:lineRule="auto"/>
              <w:ind w:left="136" w:right="245"/>
              <w:rPr>
                <w:rFonts w:hint="eastAsia" w:eastAsia="宋体"/>
                <w:spacing w:val="1"/>
                <w:lang w:eastAsia="zh-CN"/>
              </w:rPr>
            </w:pPr>
            <w:r>
              <w:rPr>
                <w:rFonts w:hint="eastAsia"/>
                <w:spacing w:val="-1"/>
              </w:rPr>
              <w:t>色域：≥100%sRGB或≥72%NTSC，色准优良，支持低蓝光模式，适配长时间工程制图，减少视觉疲劳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 w14:paraId="60AE5079">
            <w:pPr>
              <w:pStyle w:val="6"/>
              <w:spacing w:before="9" w:line="263" w:lineRule="auto"/>
              <w:ind w:left="136" w:right="245"/>
            </w:pPr>
            <w:r>
              <w:rPr>
                <w:spacing w:val="-1"/>
              </w:rPr>
              <w:t>七、接口与网络</w:t>
            </w:r>
          </w:p>
          <w:p w14:paraId="460456B8">
            <w:pPr>
              <w:pStyle w:val="6"/>
              <w:spacing w:before="1" w:line="217" w:lineRule="auto"/>
              <w:ind w:left="136"/>
            </w:pPr>
            <w:r>
              <w:rPr>
                <w:spacing w:val="-1"/>
              </w:rPr>
              <w:t>有线网口：标配RJ45千兆有线网卡</w:t>
            </w:r>
          </w:p>
          <w:p w14:paraId="5BEBF1FE">
            <w:pPr>
              <w:pStyle w:val="6"/>
              <w:spacing w:before="45" w:line="220" w:lineRule="auto"/>
              <w:ind w:left="136"/>
            </w:pPr>
            <w:r>
              <w:rPr>
                <w:spacing w:val="1"/>
              </w:rPr>
              <w:t>无线：</w:t>
            </w:r>
            <w:r>
              <w:t>Wi</w:t>
            </w:r>
            <w:r>
              <w:rPr>
                <w:spacing w:val="1"/>
              </w:rPr>
              <w:t>-</w:t>
            </w:r>
            <w:r>
              <w:t>Fi</w:t>
            </w:r>
            <w:r>
              <w:rPr>
                <w:spacing w:val="1"/>
              </w:rPr>
              <w:t xml:space="preserve"> 6+蓝牙</w:t>
            </w:r>
          </w:p>
          <w:p w14:paraId="0207223D">
            <w:pPr>
              <w:pStyle w:val="6"/>
              <w:spacing w:before="9" w:line="263" w:lineRule="auto"/>
              <w:ind w:left="136" w:right="245"/>
            </w:pPr>
            <w:r>
              <w:rPr>
                <w:spacing w:val="-1"/>
              </w:rPr>
              <w:t>接口：USB3.0及以上≥2个、HDMI/DP、Type-C、耳机接口</w:t>
            </w:r>
          </w:p>
        </w:tc>
      </w:tr>
      <w:tr w14:paraId="47720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6" w:hRule="atLeast"/>
        </w:trPr>
        <w:tc>
          <w:tcPr>
            <w:tcW w:w="1307" w:type="dxa"/>
            <w:vAlign w:val="top"/>
          </w:tcPr>
          <w:p w14:paraId="10DF1E53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01958895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5D19B252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21E414EB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6673F17C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49B49AF4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73500A6E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41C45FAF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4FA31106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63931252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</w:rPr>
            </w:pPr>
          </w:p>
          <w:p w14:paraId="5B3AEA17">
            <w:pPr>
              <w:pStyle w:val="6"/>
              <w:spacing w:before="20" w:line="230" w:lineRule="auto"/>
              <w:ind w:left="136" w:right="15"/>
              <w:jc w:val="both"/>
              <w:rPr>
                <w:spacing w:val="2"/>
              </w:rPr>
            </w:pPr>
            <w:r>
              <w:rPr>
                <w:rFonts w:hint="eastAsia"/>
                <w:spacing w:val="2"/>
              </w:rPr>
              <w:t>出图打印机</w:t>
            </w:r>
          </w:p>
        </w:tc>
        <w:tc>
          <w:tcPr>
            <w:tcW w:w="759" w:type="dxa"/>
            <w:vAlign w:val="top"/>
          </w:tcPr>
          <w:p w14:paraId="10A8EF60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5499AFCF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1834C2E4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43603756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3861EDD7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3B999DDD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31EB228F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0BED677F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4000D2AE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470CD9A5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7D14A7CE">
            <w:pPr>
              <w:pStyle w:val="6"/>
              <w:spacing w:before="20" w:line="230" w:lineRule="auto"/>
              <w:ind w:right="15"/>
              <w:jc w:val="center"/>
              <w:rPr>
                <w:rFonts w:hint="eastAsia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否</w:t>
            </w:r>
          </w:p>
        </w:tc>
        <w:tc>
          <w:tcPr>
            <w:tcW w:w="779" w:type="dxa"/>
            <w:vAlign w:val="top"/>
          </w:tcPr>
          <w:p w14:paraId="5876C73C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7271B438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18B7BFD6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6014F488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1714E05E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2EBE1F57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36837D1F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397E1DAF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21EBDA14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2AC6FCC5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4ACA9246">
            <w:pPr>
              <w:pStyle w:val="6"/>
              <w:spacing w:before="20" w:line="230" w:lineRule="auto"/>
              <w:ind w:left="136" w:right="15"/>
              <w:jc w:val="center"/>
              <w:rPr>
                <w:rFonts w:hint="eastAsia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2</w:t>
            </w:r>
          </w:p>
        </w:tc>
        <w:tc>
          <w:tcPr>
            <w:tcW w:w="958" w:type="dxa"/>
            <w:vAlign w:val="top"/>
          </w:tcPr>
          <w:p w14:paraId="3F1F495F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70DE72E0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25FFBA21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1260B448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415B3357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6E975D05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7661414C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05224734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07EAF1A2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11D6676E">
            <w:pPr>
              <w:pStyle w:val="6"/>
              <w:spacing w:before="20" w:line="230" w:lineRule="auto"/>
              <w:ind w:left="136" w:right="15"/>
              <w:jc w:val="both"/>
              <w:rPr>
                <w:rFonts w:hint="eastAsia"/>
                <w:spacing w:val="2"/>
                <w:lang w:val="en-US" w:eastAsia="zh-CN"/>
              </w:rPr>
            </w:pPr>
          </w:p>
          <w:p w14:paraId="4DC00124">
            <w:pPr>
              <w:pStyle w:val="6"/>
              <w:spacing w:before="20" w:line="230" w:lineRule="auto"/>
              <w:ind w:left="136" w:right="15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台</w:t>
            </w:r>
          </w:p>
        </w:tc>
        <w:tc>
          <w:tcPr>
            <w:tcW w:w="4468" w:type="dxa"/>
            <w:vAlign w:val="top"/>
          </w:tcPr>
          <w:p w14:paraId="057664C2">
            <w:pPr>
              <w:pStyle w:val="6"/>
              <w:spacing w:before="38" w:line="232" w:lineRule="auto"/>
              <w:ind w:left="136" w:hanging="50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一、设备类型</w:t>
            </w:r>
          </w:p>
          <w:p w14:paraId="2394D93F">
            <w:pPr>
              <w:pStyle w:val="6"/>
              <w:spacing w:before="38" w:line="232" w:lineRule="auto"/>
              <w:ind w:left="136" w:hanging="50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类型：A3/A4 幅面</w:t>
            </w:r>
            <w:r>
              <w:rPr>
                <w:rFonts w:hint="eastAsia"/>
                <w:spacing w:val="6"/>
                <w:lang w:val="en-US" w:eastAsia="zh-CN"/>
              </w:rPr>
              <w:t>彩色</w:t>
            </w:r>
            <w:r>
              <w:rPr>
                <w:rFonts w:hint="eastAsia"/>
                <w:spacing w:val="6"/>
              </w:rPr>
              <w:t>激光打印机</w:t>
            </w:r>
          </w:p>
          <w:p w14:paraId="76FE66F3">
            <w:pPr>
              <w:pStyle w:val="6"/>
              <w:spacing w:before="38" w:line="232" w:lineRule="auto"/>
              <w:ind w:left="136" w:hanging="50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用途：全面覆盖办公文档、工程 CAD 图纸、财务报表、商务合同、项目标书等全类型文档高质量输出需求。</w:t>
            </w:r>
          </w:p>
          <w:p w14:paraId="2C134C76">
            <w:pPr>
              <w:pStyle w:val="6"/>
              <w:spacing w:before="38" w:line="232" w:lineRule="auto"/>
              <w:ind w:left="136" w:hanging="50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二、打印幅面与介质</w:t>
            </w:r>
          </w:p>
          <w:p w14:paraId="7B110987">
            <w:pPr>
              <w:pStyle w:val="6"/>
              <w:spacing w:before="43" w:line="197" w:lineRule="auto"/>
              <w:ind w:left="124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最大幅面：支持 A3 幅面打印，满足大型工程图纸、标书排版需求</w:t>
            </w:r>
          </w:p>
          <w:p w14:paraId="2640C7DE">
            <w:pPr>
              <w:pStyle w:val="6"/>
              <w:spacing w:before="43" w:line="197" w:lineRule="auto"/>
              <w:ind w:left="124"/>
              <w:rPr>
                <w:rFonts w:hint="eastAsia"/>
                <w:spacing w:val="6"/>
              </w:rPr>
            </w:pPr>
            <w:r>
              <w:rPr>
                <w:rFonts w:hint="eastAsia"/>
                <w:spacing w:val="6"/>
              </w:rPr>
              <w:t>兼容幅面：向下完全兼容 A4、A5、B5、16K 等常用规格，并支持自定义尺寸纸张，适配各类特殊报表与合同版式。</w:t>
            </w:r>
          </w:p>
          <w:p w14:paraId="6AE0A1AF">
            <w:pPr>
              <w:pStyle w:val="6"/>
              <w:spacing w:line="238" w:lineRule="auto"/>
              <w:ind w:left="124" w:right="133" w:hanging="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介质厚度：60-163g/m²,支持厚纸、</w:t>
            </w:r>
            <w:r>
              <w:rPr>
                <w:spacing w:val="1"/>
                <w:sz w:val="20"/>
                <w:szCs w:val="20"/>
              </w:rPr>
              <w:t>牛皮纸、标签纸</w:t>
            </w:r>
          </w:p>
          <w:p w14:paraId="5429260E">
            <w:pPr>
              <w:pStyle w:val="6"/>
              <w:spacing w:before="1" w:line="262" w:lineRule="auto"/>
              <w:ind w:left="124" w:right="240" w:hanging="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进纸能力：标准纸盒≥250页，多功能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手送≥100页</w:t>
            </w:r>
          </w:p>
          <w:p w14:paraId="3CDE4821">
            <w:pPr>
              <w:pStyle w:val="6"/>
              <w:spacing w:line="218" w:lineRule="auto"/>
              <w:ind w:left="1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最大供纸容量：≥500页</w:t>
            </w:r>
          </w:p>
          <w:p w14:paraId="0B778A2E">
            <w:pPr>
              <w:pStyle w:val="6"/>
              <w:spacing w:before="34" w:line="219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三、打印性能</w:t>
            </w:r>
          </w:p>
          <w:p w14:paraId="2099CA93">
            <w:pPr>
              <w:pStyle w:val="6"/>
              <w:spacing w:before="7" w:line="214" w:lineRule="auto"/>
              <w:ind w:left="1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打印分辨率：≥1200×1200 </w:t>
            </w:r>
            <w:r>
              <w:rPr>
                <w:sz w:val="20"/>
                <w:szCs w:val="20"/>
              </w:rPr>
              <w:t>dpi</w:t>
            </w:r>
          </w:p>
          <w:p w14:paraId="5BFFC7FD">
            <w:pPr>
              <w:pStyle w:val="6"/>
              <w:spacing w:before="54" w:line="218" w:lineRule="auto"/>
              <w:ind w:left="1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预热时间：≤30秒</w:t>
            </w:r>
          </w:p>
          <w:p w14:paraId="49FE9AA6">
            <w:pPr>
              <w:pStyle w:val="6"/>
              <w:spacing w:before="1" w:line="216" w:lineRule="auto"/>
              <w:ind w:lef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内存：标配≥1GB,可扩展</w:t>
            </w:r>
          </w:p>
          <w:p w14:paraId="26BA2FF4">
            <w:pPr>
              <w:pStyle w:val="6"/>
              <w:spacing w:before="28" w:line="236" w:lineRule="auto"/>
              <w:ind w:left="124" w:right="296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处理器：多核，支持高负荷稳定打印</w:t>
            </w:r>
          </w:p>
          <w:p w14:paraId="5D7C647B">
            <w:pPr>
              <w:pStyle w:val="6"/>
              <w:spacing w:before="28" w:line="236" w:lineRule="auto"/>
              <w:ind w:left="124" w:righ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四、接口与兼容性</w:t>
            </w:r>
          </w:p>
          <w:p w14:paraId="560FABF3">
            <w:pPr>
              <w:pStyle w:val="6"/>
              <w:spacing w:line="220" w:lineRule="auto"/>
              <w:ind w:left="1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标配接口：</w:t>
            </w:r>
            <w:r>
              <w:rPr>
                <w:sz w:val="20"/>
                <w:szCs w:val="20"/>
              </w:rPr>
              <w:t>USB</w:t>
            </w:r>
            <w:r>
              <w:rPr>
                <w:spacing w:val="1"/>
                <w:sz w:val="20"/>
                <w:szCs w:val="20"/>
              </w:rPr>
              <w:t xml:space="preserve"> 2.0+千兆以太网</w:t>
            </w:r>
          </w:p>
          <w:p w14:paraId="7B316995">
            <w:pPr>
              <w:pStyle w:val="6"/>
              <w:spacing w:before="30" w:line="249" w:lineRule="auto"/>
              <w:ind w:left="124" w:right="136" w:hanging="4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支持网络打印、共享打印、移动端打印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支持系统：Windows、macOS、Linux</w:t>
            </w:r>
          </w:p>
          <w:p w14:paraId="431A5FC2">
            <w:pPr>
              <w:pStyle w:val="6"/>
              <w:spacing w:before="38" w:line="232" w:lineRule="auto"/>
              <w:ind w:left="136" w:hanging="50"/>
              <w:rPr>
                <w:spacing w:val="6"/>
              </w:rPr>
            </w:pPr>
            <w:r>
              <w:rPr>
                <w:spacing w:val="-1"/>
                <w:sz w:val="20"/>
                <w:szCs w:val="20"/>
              </w:rPr>
              <w:t>支持直打：</w:t>
            </w:r>
            <w:r>
              <w:rPr>
                <w:rFonts w:hint="eastAsia"/>
                <w:spacing w:val="-1"/>
                <w:sz w:val="20"/>
                <w:szCs w:val="20"/>
              </w:rPr>
              <w:t>支持PDF、JPEG、TIFF等图像格式，以及Word、Excel、PowerPoint 等Office文档直接打印</w:t>
            </w:r>
          </w:p>
        </w:tc>
      </w:tr>
    </w:tbl>
    <w:p w14:paraId="27E7AFEA">
      <w:pPr>
        <w:spacing w:before="1"/>
      </w:pPr>
    </w:p>
    <w:p w14:paraId="69694B34">
      <w:pPr>
        <w:spacing w:before="44" w:line="219" w:lineRule="auto"/>
        <w:ind w:left="4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二、其他技术服务要求</w:t>
      </w:r>
    </w:p>
    <w:p w14:paraId="01BD1E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03"/>
        <w:textAlignment w:val="baseline"/>
        <w:rPr>
          <w:sz w:val="21"/>
          <w:szCs w:val="21"/>
        </w:rPr>
      </w:pPr>
      <w:r>
        <w:rPr>
          <w:spacing w:val="-4"/>
          <w:sz w:val="21"/>
          <w:szCs w:val="21"/>
        </w:rPr>
        <w:t>1.设备安装</w:t>
      </w:r>
    </w:p>
    <w:p w14:paraId="650DF3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71" w:firstLine="189"/>
        <w:textAlignment w:val="baseline"/>
        <w:rPr>
          <w:sz w:val="21"/>
          <w:szCs w:val="21"/>
        </w:rPr>
      </w:pPr>
      <w:r>
        <w:rPr>
          <w:spacing w:val="-2"/>
          <w:sz w:val="21"/>
          <w:szCs w:val="21"/>
        </w:rPr>
        <w:t>乙方必须向采购人提供本项目采购的所有硬件、软件的安装和维护服</w:t>
      </w:r>
      <w:r>
        <w:rPr>
          <w:spacing w:val="-3"/>
          <w:sz w:val="21"/>
          <w:szCs w:val="21"/>
        </w:rPr>
        <w:t>务的全</w:t>
      </w:r>
      <w:r>
        <w:rPr>
          <w:spacing w:val="1"/>
          <w:sz w:val="21"/>
          <w:szCs w:val="21"/>
        </w:rPr>
        <w:t>部内容，并在需要的时候配合设备使用单位完成整个系</w:t>
      </w:r>
      <w:r>
        <w:rPr>
          <w:sz w:val="21"/>
          <w:szCs w:val="21"/>
        </w:rPr>
        <w:t>统的联调工作。</w:t>
      </w:r>
    </w:p>
    <w:p w14:paraId="1EED77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03"/>
        <w:textAlignment w:val="baseline"/>
        <w:rPr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2.</w:t>
      </w:r>
      <w:r>
        <w:rPr>
          <w:spacing w:val="4"/>
          <w:sz w:val="21"/>
          <w:szCs w:val="21"/>
        </w:rPr>
        <w:t>测试和验收</w:t>
      </w:r>
    </w:p>
    <w:p w14:paraId="7D46BD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z w:val="21"/>
          <w:szCs w:val="21"/>
        </w:rPr>
      </w:pPr>
      <w:r>
        <w:rPr>
          <w:spacing w:val="-1"/>
          <w:sz w:val="21"/>
          <w:szCs w:val="21"/>
        </w:rPr>
        <w:t>设备安装完成后，乙方应根据所提交的验收方案和实施办法，自行组织设备</w:t>
      </w:r>
      <w:r>
        <w:rPr>
          <w:spacing w:val="1"/>
          <w:sz w:val="21"/>
          <w:szCs w:val="21"/>
        </w:rPr>
        <w:t>和人员，并在使用单位监查下现场进行测试和验收。</w:t>
      </w:r>
    </w:p>
    <w:p w14:paraId="6C3CFF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3.技术培训</w:t>
      </w:r>
    </w:p>
    <w:p w14:paraId="5405CE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3.1地点</w:t>
      </w:r>
    </w:p>
    <w:p w14:paraId="5A1C50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使用单位指定地点</w:t>
      </w:r>
    </w:p>
    <w:p w14:paraId="436616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3.2内容</w:t>
      </w:r>
    </w:p>
    <w:p w14:paraId="5F134E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安排专业技术人员向采购人提供全面的培训，确保用户能够对本次采购设备有足够的了解，能够独立进行日常操作、管理和维护。</w:t>
      </w:r>
    </w:p>
    <w:p w14:paraId="04DAAA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4.售后服务要求</w:t>
      </w:r>
    </w:p>
    <w:p w14:paraId="1CBC5B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1)除特别说明的设备外，所有产品均需提供至少1年质量保证和免费上门保修服务。</w:t>
      </w:r>
    </w:p>
    <w:p w14:paraId="2DC527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2)保修期内，所有硬件设备及其配件的维修均为免费。</w:t>
      </w:r>
    </w:p>
    <w:p w14:paraId="44E0F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3)响应时间：2小时内响应(包括电话响应);12小时内到达现场(如电话响应无法解决)。修复时间：24小时内解决；如在24小时内无法修复，则提供部件冗余服务或采取应急措施，以确保设备、系统的正常工作。</w:t>
      </w:r>
    </w:p>
    <w:p w14:paraId="6B38AC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>5.付款方式</w:t>
      </w:r>
    </w:p>
    <w:p w14:paraId="1F52ED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13" w:right="816" w:firstLine="189"/>
        <w:textAlignment w:val="baseline"/>
        <w:rPr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  <w:r>
        <w:rPr>
          <w:spacing w:val="-1"/>
          <w:sz w:val="21"/>
          <w:szCs w:val="21"/>
        </w:rPr>
        <w:t>设备安装调试完成且验收合格后10日内，向中标人以转账形式支付合同总</w:t>
      </w:r>
      <w:r>
        <w:rPr>
          <w:rFonts w:hint="eastAsia"/>
          <w:spacing w:val="-1"/>
          <w:sz w:val="21"/>
          <w:szCs w:val="21"/>
          <w:lang w:val="en-US" w:eastAsia="zh-CN"/>
        </w:rPr>
        <w:t>价的100%。</w:t>
      </w:r>
    </w:p>
    <w:p w14:paraId="5011612C">
      <w:pPr>
        <w:pStyle w:val="2"/>
        <w:spacing w:before="196" w:line="430" w:lineRule="auto"/>
        <w:ind w:right="114"/>
        <w:rPr>
          <w:sz w:val="23"/>
          <w:szCs w:val="23"/>
        </w:rPr>
      </w:pPr>
    </w:p>
    <w:sectPr>
      <w:pgSz w:w="11910" w:h="16840"/>
      <w:pgMar w:top="1431" w:right="1786" w:bottom="0" w:left="17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16DD3"/>
    <w:multiLevelType w:val="singleLevel"/>
    <w:tmpl w:val="3DB16DD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80623B7"/>
    <w:rsid w:val="31A545A5"/>
    <w:rsid w:val="3BE80100"/>
    <w:rsid w:val="3F00006F"/>
    <w:rsid w:val="41E34613"/>
    <w:rsid w:val="595F6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2228</Words>
  <Characters>2581</Characters>
  <TotalTime>34</TotalTime>
  <ScaleCrop>false</ScaleCrop>
  <LinksUpToDate>false</LinksUpToDate>
  <CharactersWithSpaces>2605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2026-03-16T11:01:00Z</dcterms:created>
  <dc:creator>25391</dc:creator>
  <cp:lastModifiedBy>柳</cp:lastModifiedBy>
  <dcterms:modified xsi:type="dcterms:W3CDTF">2026-03-19T02:43:45Z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2026-03-16T11:01:52Z</vt:filetime>
  </property>
  <property fmtid="{D5CDD505-2E9C-101B-9397-08002B2CF9AE}" pid="4" name="UsrData">
    <vt:lpwstr>69b772969aafeb00201ae7a5wl</vt:lpwstr>
  </property>
  <property fmtid="{D5CDD505-2E9C-101B-9397-08002B2CF9AE}" pid="5" name="KSOTemplateDocerSaveRecord">
    <vt:lpwstr>eyJoZGlkIjoiMWRjZTUxNDI4YzkzZjk5ZWI0NTU0NDYxNzkyNjhlYjciLCJ1c2VySWQiOiI0NjIzOTg0NDkifQ==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7D9A57465B394B5CBFD76544EEBEE11D_13</vt:lpwstr>
  </property>
</Properties>
</file>