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6D8A9">
      <w:pPr>
        <w:jc w:val="center"/>
        <w:rPr>
          <w:rFonts w:hint="eastAsia" w:ascii="方正小标宋简体" w:eastAsia="方正小标宋简体" w:hAnsiTheme="minorHAnsi" w:cstheme="minorBidi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spacing w:val="0"/>
          <w:kern w:val="2"/>
          <w:sz w:val="44"/>
          <w:szCs w:val="44"/>
          <w:lang w:val="en-US" w:eastAsia="zh-CN" w:bidi="ar-SA"/>
        </w:rPr>
        <w:t>纵向科研项目经费使用负面清单</w:t>
      </w:r>
    </w:p>
    <w:p w14:paraId="40B5CD6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为进一步规范纵向科研项目经费管理，明确经费使用禁止性范围，根据《郑州铁路职业技术学院纵向科研项目</w:t>
      </w:r>
      <w:bookmarkStart w:id="0" w:name="_GoBack"/>
      <w:bookmarkEnd w:id="0"/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经费管理办法》（郑铁办〔2022〕108号）第二十八条“建立‘负面清单’制度”要求，结合国家及河南省科研经费管理相关规定</w:t>
      </w: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theme="minorBidi"/>
          <w:spacing w:val="0"/>
          <w:kern w:val="2"/>
          <w:sz w:val="32"/>
          <w:szCs w:val="32"/>
          <w:lang w:val="en-US" w:eastAsia="zh-CN" w:bidi="ar-SA"/>
        </w:rPr>
        <w:t>现</w:t>
      </w: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将负面清单规范如下：</w:t>
      </w:r>
    </w:p>
    <w:p w14:paraId="592A1DF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1．不得虚构经济业务、编造虚假合同、使用虚假票据套取资金</w:t>
      </w:r>
    </w:p>
    <w:p w14:paraId="375636E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严禁虚构科研活动、编造虚假实验记录或测试报告，通过伪造合同、虚开发票、虚构服务事项等方式套取经费。</w:t>
      </w: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如</w:t>
      </w: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伪造设备采购合同、虚列测试化验加工费但未实际开展相关业务。</w:t>
      </w:r>
    </w:p>
    <w:p w14:paraId="30CD201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2.不得通过合作、协作经费方式套取资金</w:t>
      </w:r>
    </w:p>
    <w:p w14:paraId="2058099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严禁以“合作研究”“外协任务”名义，将经费拨付至关联单位或个人控制的账户，变相转移、侵占经费。</w:t>
      </w: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如</w:t>
      </w: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与无实质合作内容的单位签订外协合同，经费到账后违规回流。</w:t>
      </w:r>
    </w:p>
    <w:p w14:paraId="63AA749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3.不得以虚列、伪造名单等方式，虚报冒领劳务费，套取财政资金</w:t>
      </w:r>
    </w:p>
    <w:p w14:paraId="781C860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严禁通过虚列人员名单、伪造考勤记录、编造校外专家信息等方式，虚报冒领劳务费、专家咨询费。</w:t>
      </w: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如</w:t>
      </w: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将未参与项目研究的人员列入劳务费发放名单，或超标准、超范围发放。</w:t>
      </w:r>
    </w:p>
    <w:p w14:paraId="14E741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4.不得用于与本科研项目无关的支出</w:t>
      </w:r>
    </w:p>
    <w:p w14:paraId="4F6200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将经费用于与项目研究目标、任务无关的支出，包括但不限于：日常办公经费（如非科研专用的办公用品、通讯费）；与项目无关的会议费、差旅费（如一般性学术交流、非项目相关的培训）；无实质关联的设备购置（如与研究方向无关的通用设备）。</w:t>
      </w:r>
    </w:p>
    <w:p w14:paraId="014A3FE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5.不得用于应由个人及家庭负担的支出</w:t>
      </w:r>
    </w:p>
    <w:p w14:paraId="3D69B08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严禁使用经费支付应由个人承担的费用，包括：个人及家属的差旅费、医疗费、购房购车、子女教育等费用；个人通讯费、餐费、娱乐消费等与科研无关的个人支出。</w:t>
      </w:r>
    </w:p>
    <w:p w14:paraId="5E2E29C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6.不得滥用、浪费科研经费，违规预支、预存费用私设“小金库”</w:t>
      </w:r>
    </w:p>
    <w:p w14:paraId="59042E4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严禁违规预支、预存费用，通过私设账户、白条抵库、坐收坐支等方式形成“小金库”；严禁无节制使用经费，如超标准购买设备、重复采购、高价租赁仪器等浪费行为。</w:t>
      </w:r>
    </w:p>
    <w:p w14:paraId="45B9B75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.不得截留、挪用、侵占科研经费</w:t>
      </w:r>
    </w:p>
    <w:p w14:paraId="63AF42E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严禁擅自截留项目经费，或改变经费用途挪作他用（如垫付其他项目费用、补充日常经费缺口）；严禁以任何形式侵占经费，包括个人或单位违规占有科研成果转化收益、设备处置收入等。</w:t>
      </w:r>
    </w:p>
    <w:p w14:paraId="3621568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.不得使用科研经费支付各种罚款、捐款、赞助、投资</w:t>
      </w:r>
    </w:p>
    <w:p w14:paraId="7921F70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严禁使用经费支付罚款、滞纳金、违约金（因科研活动合规性问题导致的除外）；严禁以科研名义进行捐款、赞助、投资、购买理财产品等。</w:t>
      </w:r>
    </w:p>
    <w:p w14:paraId="020A4E6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 w:cstheme="minorBidi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eastAsia="仿宋_GB2312" w:cstheme="minorBidi"/>
          <w:b/>
          <w:bCs/>
          <w:spacing w:val="0"/>
          <w:kern w:val="2"/>
          <w:sz w:val="32"/>
          <w:szCs w:val="32"/>
          <w:lang w:val="en-US" w:eastAsia="zh-CN" w:bidi="ar-SA"/>
        </w:rPr>
        <w:t>其他法律、法规以及政策文件明确不得开支的内容</w:t>
      </w:r>
    </w:p>
    <w:p w14:paraId="19E719F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严禁用于任何违反国家法律法规、党纪党规的活动，如赌博、行贿、洗钱等；严禁违反中央八项规定精神及学校廉政建设要求，如超标准接待、公款旅游、违规发放津贴补贴等。</w:t>
      </w:r>
    </w:p>
    <w:p w14:paraId="004FD79F">
      <w:pPr>
        <w:jc w:val="center"/>
        <w:rPr>
          <w:rFonts w:hint="eastAsia" w:ascii="方正小标宋简体" w:eastAsia="方正小标宋简体" w:hAnsiTheme="minorHAnsi" w:cstheme="minorBidi"/>
          <w:spacing w:val="0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41FC5C-22B0-46BD-83DE-4AE69C4325B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9F7887-0383-4214-B720-561375215E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1BFE03-3B1C-4351-AFE0-490A12E585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D899A"/>
    <w:multiLevelType w:val="multilevel"/>
    <w:tmpl w:val="54FD899A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39D4"/>
    <w:rsid w:val="096B39D4"/>
    <w:rsid w:val="0A984BB5"/>
    <w:rsid w:val="414548A4"/>
    <w:rsid w:val="55B72227"/>
    <w:rsid w:val="57040191"/>
    <w:rsid w:val="654C3747"/>
    <w:rsid w:val="6810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76" w:lineRule="exact"/>
      <w:ind w:firstLine="894" w:firstLineChars="200"/>
      <w:outlineLvl w:val="0"/>
    </w:pPr>
    <w:rPr>
      <w:rFonts w:ascii="黑体" w:hAnsi="黑体" w:eastAsia="黑体" w:cs="Times New Roman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76" w:lineRule="exact"/>
      <w:ind w:firstLine="0" w:firstLineChars="0"/>
      <w:outlineLvl w:val="1"/>
    </w:pPr>
    <w:rPr>
      <w:rFonts w:ascii="楷体" w:hAnsi="楷体" w:eastAsia="楷体" w:cs="Times New Roman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76" w:lineRule="exact"/>
      <w:ind w:firstLine="400" w:firstLineChars="0"/>
      <w:outlineLvl w:val="2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76" w:lineRule="exact"/>
      <w:ind w:firstLine="402" w:firstLineChars="0"/>
      <w:outlineLvl w:val="3"/>
    </w:pPr>
    <w:rPr>
      <w:rFonts w:ascii="仿宋" w:hAnsi="仿宋" w:eastAsia="仿宋" w:cs="Times New Roman"/>
      <w:color w:val="auto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adjustRightInd w:val="0"/>
      <w:snapToGrid w:val="0"/>
      <w:spacing w:line="576" w:lineRule="exact"/>
      <w:ind w:firstLine="630" w:firstLineChars="200"/>
    </w:pPr>
    <w:rPr>
      <w:rFonts w:ascii="仿宋" w:hAnsi="仿宋" w:eastAsia="仿宋" w:cs="Times New Roman"/>
      <w:color w:val="auto"/>
      <w:spacing w:val="-6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1057</Characters>
  <Lines>0</Lines>
  <Paragraphs>0</Paragraphs>
  <TotalTime>5</TotalTime>
  <ScaleCrop>false</ScaleCrop>
  <LinksUpToDate>false</LinksUpToDate>
  <CharactersWithSpaces>1057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2026-01-28T10:24:00Z</dcterms:created>
  <dc:creator>张希</dc:creator>
  <cp:lastModifiedBy>张希</cp:lastModifiedBy>
  <dcterms:modified xsi:type="dcterms:W3CDTF">2026-01-29T01:02:24Z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F450FEDE8EE1490EA9CAEE1BA6A22CB1_11</vt:lpwstr>
  </property>
  <property fmtid="{D5CDD505-2E9C-101B-9397-08002B2CF9AE}" pid="4" name="KSOTemplateDocerSaveRecord">
    <vt:lpwstr>eyJoZGlkIjoiN2ZiMGJlZmQ1YTM2Yzg3ODg4ZjQ1ZmIwZWE5OWJlZDUiLCJ1c2VySWQiOiIxOTgzNTY5NDIifQ==</vt:lpwstr>
  </property>
</Properties>
</file>