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附件1</w:t>
      </w:r>
      <w:bookmarkStart w:id="0" w:name="_GoBack"/>
      <w:bookmarkEnd w:id="0"/>
    </w:p>
    <w:p>
      <w:pPr>
        <w:ind w:firstLine="640" w:firstLineChars="200"/>
        <w:jc w:val="center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2022年度河南省教育科学规划</w:t>
      </w:r>
    </w:p>
    <w:p>
      <w:pPr>
        <w:snapToGrid w:val="0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重大招标课题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选题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新发展阶段河南省高等教育结构体系优化研究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>2.科技自立自强背景下河南高校创新体系建设研究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高校新媒体+育人体系建构与功能发挥研究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4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破“五唯”背景下高校人文社会科学研究成果分类评价体系研究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5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河南省高校党外知识分子思想政治工作研究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6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河南省产业人才需求与专业人才供给耦合机制研究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7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高质量充分就业背景下特殊群体大学生精准就业服务体系研究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8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.乡村振兴背景下新型职业农民创新创业教育体系建构与实践研究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9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河南省教师梯队攀升体系构建及实践研究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0.河南省新高考改革政策平稳落地的保障机制研究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3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新时代河南省中外合作办学治理体系与治理能力现代化建设研究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河南省县域义务教育优质均衡发展研究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河南省小规模学校和寄宿制学校教职工编制问题研究</w:t>
      </w:r>
    </w:p>
    <w:p>
      <w:pPr>
        <w:ind w:firstLine="560" w:firstLineChars="200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河南省幼小衔接问题研究</w:t>
      </w:r>
    </w:p>
    <w:p>
      <w:pPr>
        <w:ind w:firstLine="560" w:firstLineChars="200"/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ascii="仿宋_GB2312" w:hAnsi="宋体" w:eastAsia="仿宋_GB2312" w:cs="仿宋_GB2312"/>
          <w:kern w:val="0"/>
          <w:sz w:val="28"/>
          <w:szCs w:val="28"/>
        </w:rPr>
        <w:t>5.校外培训机构的治理与转型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95319"/>
    <w:rsid w:val="793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2021-10-29T03:29:00Z</dcterms:created>
  <dc:creator>tianyafang</dc:creator>
  <cp:lastModifiedBy>tianyafang</cp:lastModifiedBy>
  <dcterms:modified xsi:type="dcterms:W3CDTF">2021-10-29T03:34:00Z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B4D99C3D7D7F46E382A4CF5AE094B0C2</vt:lpwstr>
  </property>
</Properties>
</file>